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9A" w:rsidRDefault="00B2019A" w:rsidP="00B2019A">
      <w:pPr>
        <w:spacing w:before="120" w:after="120" w:line="360" w:lineRule="auto"/>
        <w:ind w:left="4248" w:hanging="4248"/>
        <w:jc w:val="center"/>
        <w:rPr>
          <w:rFonts w:ascii="Arial" w:hAnsi="Arial" w:cs="Arial"/>
          <w:b/>
        </w:rPr>
      </w:pPr>
      <w:bookmarkStart w:id="0" w:name="_GoBack"/>
      <w:bookmarkEnd w:id="0"/>
      <w:r w:rsidRPr="00095E28">
        <w:rPr>
          <w:rFonts w:ascii="Arial" w:hAnsi="Arial" w:cs="Arial"/>
          <w:b/>
        </w:rPr>
        <w:t>EDITAL DE CHAMAMENTO PÚBLICO Nº 01/2016</w:t>
      </w: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CREDENCIAMENTO DE EMPRESAS PARA O FORNECIMENTO DE PRÓTESES AUDITIVAS PARA O CENTRO ESPECIALIZADO EM REABILITAÇÃO II (AUDITIVA E INTELECTUAL) – CER II</w:t>
      </w:r>
    </w:p>
    <w:p w:rsidR="00B2019A" w:rsidRDefault="00B2019A" w:rsidP="00B2019A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O PRESIDENTE DA FUNDAÇÃO MUNICIPAL DE SAÚDE DE SANTA ROSA</w:t>
      </w:r>
      <w:r>
        <w:rPr>
          <w:rFonts w:ascii="Arial" w:hAnsi="Arial" w:cs="Arial"/>
        </w:rPr>
        <w:t>, Estado do Rio Grande do Sul, no uso de suas atribuições legais, que lhe são conferidas pela Lei 2.912/95,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habilitação do CER II, conforme Portaria 1.323 de 27 de novembro de 2014 e a necessidade de se fornecer próteses auditivas aos pacientes que se utilizam dos seus serviços;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as disposições da Constituição Federal,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196 e seguintes, da Lei Federal nº 8.080/90, da Portaria do Ministério da Saúde nº 1.286/93 e da Lei Federal nº 8.666/93.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CONSIDERANDO, ainda, os princípios constitucionais da legalidade, impessoalidade, moralidade, entre outros,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CONVIDA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 interessados em FORNECER PRÓTESES AUDITIVAS PARA O CER II, DE ACORDO COM AS DESCRIÇÕES E CONDIÇÕES ESTABELECIDAS NO ANEXO I DO PRESENTE EDITAL, DE FORMA CONSIGNADA e com as normas do SUS e demais legislação vigente, a se CREDENCIAREM junto a FUMSSAR no setor de Protocolos, munidos dos seguintes documentos: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8606C3">
        <w:rPr>
          <w:rFonts w:ascii="Arial" w:hAnsi="Arial" w:cs="Arial"/>
        </w:rPr>
        <w:t>Inscrição no CNPJ (</w:t>
      </w:r>
      <w:hyperlink r:id="rId9" w:history="1">
        <w:r w:rsidRPr="008606C3">
          <w:rPr>
            <w:rStyle w:val="Hyperlink"/>
            <w:rFonts w:ascii="Arial" w:hAnsi="Arial" w:cs="Arial"/>
          </w:rPr>
          <w:t>www.receita.fazenda.gov</w:t>
        </w:r>
      </w:hyperlink>
      <w:r w:rsidRPr="008606C3">
        <w:rPr>
          <w:rFonts w:ascii="Arial" w:hAnsi="Arial" w:cs="Arial"/>
        </w:rPr>
        <w:t>);</w:t>
      </w:r>
    </w:p>
    <w:p w:rsidR="00B2019A" w:rsidRPr="008606C3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8606C3">
        <w:rPr>
          <w:rFonts w:ascii="Arial" w:hAnsi="Arial" w:cs="Arial"/>
        </w:rPr>
        <w:t>Alvará de inscrição no cadastro de contribuinte municipal;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Contrato social, nome dos sócios e, quando houver, a última alteração do objeto e da razão social, ou consolidação;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comercial no caso de empresa individual;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Balanço patrimonial avalizado pelo contador responsável pela empresa, em original, ou cópia autenticada em cartório. Empresas com movimentação inferior a um ano devem apresentar declaração expedida pelo contador da empresa. Em ambos os casos, os documentos devem conter a assinatura e o número do CRC do contador;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negativa de falência ou concordata;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Regularidade com a Fazenda Municipal;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a Fazenda Estadual (</w:t>
      </w:r>
      <w:hyperlink r:id="rId10" w:history="1">
        <w:r w:rsidRPr="004158DB">
          <w:rPr>
            <w:rStyle w:val="Hyperlink"/>
            <w:rFonts w:ascii="Arial" w:hAnsi="Arial" w:cs="Arial"/>
          </w:rPr>
          <w:t>www.sefaz.rs.gov.br</w:t>
        </w:r>
      </w:hyperlink>
      <w:r w:rsidRPr="003F36D8"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conjunta de débitos relativos a tributos federais 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divida ativa da União (</w:t>
      </w:r>
      <w:hyperlink r:id="rId11" w:history="1">
        <w:r w:rsidRPr="004158DB">
          <w:rPr>
            <w:rStyle w:val="Hyperlink"/>
            <w:rFonts w:ascii="Arial" w:hAnsi="Arial" w:cs="Arial"/>
          </w:rPr>
          <w:t>www.receita.fazenda.gov.br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relativa à Seguridade Social (</w:t>
      </w:r>
      <w:hyperlink r:id="rId12" w:history="1">
        <w:r w:rsidRPr="004158DB">
          <w:rPr>
            <w:rStyle w:val="Hyperlink"/>
            <w:rFonts w:ascii="Arial" w:hAnsi="Arial" w:cs="Arial"/>
          </w:rPr>
          <w:t>www.previdenciasocial.gov.br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o Fundo de Garantia por Tempo de Serviço (</w:t>
      </w:r>
      <w:hyperlink r:id="rId13" w:history="1">
        <w:r w:rsidRPr="004158DB">
          <w:rPr>
            <w:rStyle w:val="Hyperlink"/>
            <w:rFonts w:ascii="Arial" w:hAnsi="Arial" w:cs="Arial"/>
          </w:rPr>
          <w:t>www.caixa.gov.br</w:t>
        </w:r>
      </w:hyperlink>
      <w:r>
        <w:rPr>
          <w:rFonts w:ascii="Arial" w:hAnsi="Arial" w:cs="Arial"/>
        </w:rPr>
        <w:t>);</w:t>
      </w:r>
    </w:p>
    <w:p w:rsidR="00B2019A" w:rsidRDefault="00B2019A" w:rsidP="008606C3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Catálogo ilustrativo/informativo dos aparelhos que disponibiliza.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Os valores a serem contratados serão os estabelecidos pela Tabela SUS.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período para o credenciamento se dará </w:t>
      </w:r>
      <w:r w:rsidRPr="00F676C8">
        <w:rPr>
          <w:rFonts w:ascii="Arial" w:hAnsi="Arial" w:cs="Arial"/>
        </w:rPr>
        <w:t>de 1</w:t>
      </w:r>
      <w:r>
        <w:rPr>
          <w:rFonts w:ascii="Arial" w:hAnsi="Arial" w:cs="Arial"/>
        </w:rPr>
        <w:t>8</w:t>
      </w:r>
      <w:r w:rsidRPr="00F676C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Janeiro de 2016 a </w:t>
      </w:r>
      <w:r w:rsidRPr="00F676C8">
        <w:rPr>
          <w:rFonts w:ascii="Arial" w:hAnsi="Arial" w:cs="Arial"/>
        </w:rPr>
        <w:t>01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Fevereiro de 2016, podendo ser prorrogado, a critério da Administração.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credenciamento configurar-se-á em relação contratual de compra e venda e prestação de serviço regida pela Lei 8.666/93, cuja vigência se dará pelo período de 02 (anos) podendo ser prorrogado pelo mesmo período, havendo interesse entre os contratantes.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poderão ser obtidas junto ao Departamento Administrativo da FUMSSAR, sito Rua Dr. Francisco Timm, 480, Centro, Santa Rosa, RS.</w:t>
      </w:r>
    </w:p>
    <w:p w:rsidR="00B2019A" w:rsidRDefault="00B2019A" w:rsidP="00B2019A">
      <w:pPr>
        <w:spacing w:before="120" w:after="120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Santa Rosa, 14 de Janeiro de 2016.</w:t>
      </w: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579F4" wp14:editId="31D45118">
                <wp:simplePos x="0" y="0"/>
                <wp:positionH relativeFrom="column">
                  <wp:posOffset>1576777</wp:posOffset>
                </wp:positionH>
                <wp:positionV relativeFrom="paragraph">
                  <wp:posOffset>268474</wp:posOffset>
                </wp:positionV>
                <wp:extent cx="2320290" cy="8255"/>
                <wp:effectExtent l="0" t="0" r="22860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2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21.15pt" to="30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" strokecolor="black [3040]"/>
            </w:pict>
          </mc:Fallback>
        </mc:AlternateContent>
      </w:r>
    </w:p>
    <w:p w:rsidR="00B2019A" w:rsidRDefault="00B2019A" w:rsidP="00B201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Aldair Melchior</w:t>
      </w:r>
    </w:p>
    <w:p w:rsidR="00B2019A" w:rsidRPr="00DB73C7" w:rsidRDefault="00B2019A" w:rsidP="00B201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Substituto</w:t>
      </w:r>
    </w:p>
    <w:p w:rsidR="00B2019A" w:rsidRPr="003F36D8" w:rsidRDefault="00B2019A" w:rsidP="00B2019A">
      <w:pPr>
        <w:pStyle w:val="PargrafodaLista"/>
        <w:spacing w:before="120" w:after="120" w:line="360" w:lineRule="auto"/>
        <w:jc w:val="both"/>
        <w:rPr>
          <w:rFonts w:ascii="Arial" w:hAnsi="Arial" w:cs="Arial"/>
        </w:rPr>
      </w:pPr>
    </w:p>
    <w:p w:rsidR="00B2019A" w:rsidRDefault="00B2019A" w:rsidP="00B2019A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420B03" w:rsidRDefault="00420B03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F36D8">
      <w:pPr>
        <w:spacing w:before="120" w:after="120" w:line="360" w:lineRule="auto"/>
        <w:ind w:left="4248" w:hanging="4248"/>
        <w:jc w:val="center"/>
        <w:rPr>
          <w:rFonts w:ascii="Arial" w:hAnsi="Arial" w:cs="Arial"/>
          <w:b/>
        </w:rPr>
      </w:pPr>
    </w:p>
    <w:p w:rsidR="00DB73C7" w:rsidRPr="00757308" w:rsidRDefault="00757308" w:rsidP="00DB73C7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757308">
        <w:rPr>
          <w:rFonts w:ascii="Arial" w:hAnsi="Arial" w:cs="Arial"/>
          <w:b/>
          <w:u w:val="single"/>
        </w:rPr>
        <w:lastRenderedPageBreak/>
        <w:t>ANEXO I</w:t>
      </w:r>
    </w:p>
    <w:p w:rsidR="00DB73C7" w:rsidRDefault="00DB73C7" w:rsidP="006D36B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6D36BE">
        <w:rPr>
          <w:rFonts w:ascii="Arial" w:hAnsi="Arial" w:cs="Arial"/>
        </w:rPr>
        <w:t>Equipamentos/Aparelhos que a empresa deverá disponibilizar ao CER II – Santa Rosa/RS.</w:t>
      </w:r>
    </w:p>
    <w:p w:rsidR="00B93AFC" w:rsidRDefault="00B93AFC" w:rsidP="00B93AFC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aparelhos auditivos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098"/>
      </w:tblGrid>
      <w:tr w:rsidR="0004507D" w:rsidRPr="006B4620" w:rsidTr="006B4620">
        <w:trPr>
          <w:trHeight w:val="579"/>
        </w:trPr>
        <w:tc>
          <w:tcPr>
            <w:tcW w:w="1809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620">
              <w:rPr>
                <w:rFonts w:ascii="Arial" w:hAnsi="Arial" w:cs="Arial"/>
                <w:b/>
                <w:sz w:val="20"/>
                <w:szCs w:val="20"/>
              </w:rPr>
              <w:t>Código Tabela SUS</w:t>
            </w:r>
          </w:p>
        </w:tc>
        <w:tc>
          <w:tcPr>
            <w:tcW w:w="6096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620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8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620">
              <w:rPr>
                <w:rFonts w:ascii="Arial" w:hAnsi="Arial" w:cs="Arial"/>
                <w:b/>
                <w:sz w:val="20"/>
                <w:szCs w:val="20"/>
              </w:rPr>
              <w:t>Valor Tabela SUS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07.01.03.012-7</w:t>
            </w:r>
          </w:p>
        </w:tc>
        <w:tc>
          <w:tcPr>
            <w:tcW w:w="6096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RETRO-AURICULAR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</w:t>
            </w:r>
            <w:r w:rsidR="000F6920"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B93AFC" w:rsidRPr="006B4620" w:rsidRDefault="00B93AFC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07.01.03.012-7</w:t>
            </w:r>
          </w:p>
        </w:tc>
        <w:tc>
          <w:tcPr>
            <w:tcW w:w="6096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RETRO-AURICULAR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e severas</w:t>
            </w:r>
          </w:p>
        </w:tc>
        <w:tc>
          <w:tcPr>
            <w:tcW w:w="1098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07.01.03.012-7</w:t>
            </w:r>
          </w:p>
        </w:tc>
        <w:tc>
          <w:tcPr>
            <w:tcW w:w="6096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RETRO-AURICULAR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profundas</w:t>
            </w:r>
          </w:p>
        </w:tc>
        <w:tc>
          <w:tcPr>
            <w:tcW w:w="1098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07.01.03.006-2</w:t>
            </w:r>
          </w:p>
        </w:tc>
        <w:tc>
          <w:tcPr>
            <w:tcW w:w="6096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INTRACANAL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B93AFC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07.01.03.006-2</w:t>
            </w:r>
          </w:p>
        </w:tc>
        <w:tc>
          <w:tcPr>
            <w:tcW w:w="6096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INTRACANAL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07.01.03.006-2</w:t>
            </w:r>
          </w:p>
        </w:tc>
        <w:tc>
          <w:tcPr>
            <w:tcW w:w="6096" w:type="dxa"/>
            <w:vAlign w:val="center"/>
          </w:tcPr>
          <w:p w:rsidR="000F6920" w:rsidRPr="006B4620" w:rsidRDefault="00360E5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APARELHO DE AMPLI</w:t>
            </w:r>
            <w:r w:rsidR="00592A9E" w:rsidRPr="006B4620">
              <w:rPr>
                <w:rFonts w:ascii="Arial" w:hAnsi="Arial" w:cs="Arial"/>
                <w:sz w:val="20"/>
                <w:szCs w:val="20"/>
              </w:rPr>
              <w:t>FIC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INTRACANAL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0F6920" w:rsidRPr="006B4620" w:rsidRDefault="00360E5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4507D" w:rsidRPr="006B4620" w:rsidTr="0004507D">
        <w:tc>
          <w:tcPr>
            <w:tcW w:w="1809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07.01.03.009-7</w:t>
            </w:r>
          </w:p>
        </w:tc>
        <w:tc>
          <w:tcPr>
            <w:tcW w:w="6096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MICROCANAL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620"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AAASI CIC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0F6920" w:rsidRPr="006B4620" w:rsidTr="0004507D">
        <w:trPr>
          <w:trHeight w:val="241"/>
        </w:trPr>
        <w:tc>
          <w:tcPr>
            <w:tcW w:w="1809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0F6920" w:rsidRPr="006B4620" w:rsidRDefault="000F6920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920" w:rsidRPr="006B4620" w:rsidTr="0004507D">
        <w:tc>
          <w:tcPr>
            <w:tcW w:w="1809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07.01.03.013-5</w:t>
            </w:r>
          </w:p>
        </w:tc>
        <w:tc>
          <w:tcPr>
            <w:tcW w:w="6096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0F6920" w:rsidRPr="006B4620" w:rsidTr="0004507D">
        <w:tc>
          <w:tcPr>
            <w:tcW w:w="1809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07.01.03.013-5</w:t>
            </w:r>
          </w:p>
        </w:tc>
        <w:tc>
          <w:tcPr>
            <w:tcW w:w="6096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0F6920" w:rsidRPr="006B4620" w:rsidTr="0004507D">
        <w:tc>
          <w:tcPr>
            <w:tcW w:w="1809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07.01.03.013-5</w:t>
            </w:r>
          </w:p>
        </w:tc>
        <w:tc>
          <w:tcPr>
            <w:tcW w:w="6096" w:type="dxa"/>
            <w:vAlign w:val="center"/>
          </w:tcPr>
          <w:p w:rsidR="00592A9E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profundas</w:t>
            </w:r>
          </w:p>
        </w:tc>
        <w:tc>
          <w:tcPr>
            <w:tcW w:w="1098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0F6920" w:rsidRPr="006B4620" w:rsidTr="0004507D">
        <w:tc>
          <w:tcPr>
            <w:tcW w:w="1809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07.01.03.007-0</w:t>
            </w:r>
          </w:p>
        </w:tc>
        <w:tc>
          <w:tcPr>
            <w:tcW w:w="6096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INTRACANAL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0F6920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92A9E" w:rsidRPr="006B4620" w:rsidTr="0004507D">
        <w:tc>
          <w:tcPr>
            <w:tcW w:w="1809" w:type="dxa"/>
            <w:vAlign w:val="center"/>
          </w:tcPr>
          <w:p w:rsidR="00592A9E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07.01.03.007-0</w:t>
            </w:r>
          </w:p>
        </w:tc>
        <w:tc>
          <w:tcPr>
            <w:tcW w:w="6096" w:type="dxa"/>
            <w:vAlign w:val="center"/>
          </w:tcPr>
          <w:p w:rsidR="00592A9E" w:rsidRPr="006B4620" w:rsidRDefault="00592A9E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INTRACANAL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</w:t>
            </w:r>
            <w:r w:rsidR="005C5DAF" w:rsidRPr="006B4620">
              <w:rPr>
                <w:rFonts w:ascii="Arial" w:hAnsi="Arial" w:cs="Arial"/>
                <w:b/>
                <w:sz w:val="20"/>
                <w:szCs w:val="20"/>
              </w:rPr>
              <w:t xml:space="preserve"> a severas</w:t>
            </w:r>
          </w:p>
        </w:tc>
        <w:tc>
          <w:tcPr>
            <w:tcW w:w="1098" w:type="dxa"/>
            <w:vAlign w:val="center"/>
          </w:tcPr>
          <w:p w:rsidR="00592A9E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92A9E" w:rsidRPr="006B4620" w:rsidTr="0004507D">
        <w:tc>
          <w:tcPr>
            <w:tcW w:w="1809" w:type="dxa"/>
            <w:vAlign w:val="center"/>
          </w:tcPr>
          <w:p w:rsidR="00592A9E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07.01.03.004-6</w:t>
            </w:r>
          </w:p>
        </w:tc>
        <w:tc>
          <w:tcPr>
            <w:tcW w:w="6096" w:type="dxa"/>
            <w:vAlign w:val="center"/>
          </w:tcPr>
          <w:p w:rsidR="00592A9E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INTRA-AURICULAR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592A9E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07.01.03.010-0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MICROCANAL </w:t>
            </w:r>
            <w:r w:rsidRPr="006B4620">
              <w:rPr>
                <w:rFonts w:ascii="Arial" w:hAnsi="Arial" w:cs="Arial"/>
                <w:b/>
                <w:color w:val="00B0F0"/>
                <w:sz w:val="20"/>
                <w:szCs w:val="20"/>
              </w:rPr>
              <w:t>TIPO B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CIC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07.01.03.014-3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lastRenderedPageBreak/>
              <w:t>07.01.03.014-3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07.01.03.014-3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AMPLIFICAÇÃO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RETRO-AURICULAR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profundas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07.01.03.008-9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INTRACANAL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07.01.03.008-9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INTRACANAL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ITC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moderadas a severas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07.01.03.008-9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APARELHO DE AMPLIAÇÃO SONORA INDIVIDUAL (AASI) EXTERNO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 xml:space="preserve">MICROCANAL </w:t>
            </w:r>
            <w:r w:rsidRPr="006B4620">
              <w:rPr>
                <w:rFonts w:ascii="Arial" w:hAnsi="Arial" w:cs="Arial"/>
                <w:b/>
                <w:color w:val="00B050"/>
                <w:sz w:val="20"/>
                <w:szCs w:val="20"/>
              </w:rPr>
              <w:t>TIPO C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AASE CIC – </w:t>
            </w:r>
            <w:r w:rsidRPr="006B4620">
              <w:rPr>
                <w:rFonts w:ascii="Arial" w:hAnsi="Arial" w:cs="Arial"/>
                <w:b/>
                <w:sz w:val="20"/>
                <w:szCs w:val="20"/>
              </w:rPr>
              <w:t>p/perdas leves a moderadas</w:t>
            </w: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07.01.03.002-0</w:t>
            </w: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APARELHO DE AMPLIFICAÇÃO SONORA INDIVIDUAL (AASI) EXTERNO DE CONDUÇÃO ÓSSEA</w:t>
            </w:r>
            <w:r w:rsidR="007401E9" w:rsidRPr="006B4620">
              <w:rPr>
                <w:rFonts w:ascii="Arial" w:hAnsi="Arial" w:cs="Arial"/>
                <w:sz w:val="20"/>
                <w:szCs w:val="20"/>
              </w:rPr>
              <w:t xml:space="preserve"> RETROAURICULAR TIPO A</w:t>
            </w:r>
            <w:r w:rsidRPr="006B4620">
              <w:rPr>
                <w:rFonts w:ascii="Arial" w:hAnsi="Arial" w:cs="Arial"/>
                <w:sz w:val="20"/>
                <w:szCs w:val="20"/>
              </w:rPr>
              <w:t xml:space="preserve"> – AASI BTE – p/perdas moderadas a severas</w:t>
            </w:r>
            <w:r w:rsidR="00B73A6D" w:rsidRPr="006B4620">
              <w:rPr>
                <w:rFonts w:ascii="Arial" w:hAnsi="Arial" w:cs="Arial"/>
                <w:sz w:val="20"/>
                <w:szCs w:val="20"/>
              </w:rPr>
              <w:t xml:space="preserve"> c/ condução óssea de som</w:t>
            </w:r>
          </w:p>
        </w:tc>
        <w:tc>
          <w:tcPr>
            <w:tcW w:w="1098" w:type="dxa"/>
            <w:vAlign w:val="center"/>
          </w:tcPr>
          <w:p w:rsidR="005C5DAF" w:rsidRPr="006B4620" w:rsidRDefault="00B73A6D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C5DAF" w:rsidRPr="006B4620" w:rsidTr="0004507D">
        <w:tc>
          <w:tcPr>
            <w:tcW w:w="1809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5C5DAF" w:rsidRPr="006B4620" w:rsidRDefault="005C5DAF" w:rsidP="000450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07.01.03.032-1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SISTEMA DE FREQUENCIA MODULADA PESSOAL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BCB" w:rsidRPr="006B4620" w:rsidTr="0004507D">
        <w:trPr>
          <w:trHeight w:val="547"/>
        </w:trPr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07.01.03.018-6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INTRA-AURICULAR TIPO A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07.01.03.019-4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INTRA-AURICULAR TIPO B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020-8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REPOSIÇÃO </w:t>
            </w:r>
            <w:r w:rsidR="0004507D" w:rsidRPr="006B4620">
              <w:rPr>
                <w:rFonts w:ascii="Arial" w:hAnsi="Arial" w:cs="Arial"/>
                <w:sz w:val="20"/>
                <w:szCs w:val="20"/>
              </w:rPr>
              <w:t xml:space="preserve">DE ASSI EXTERNO INTRA-AURICULAR </w:t>
            </w:r>
            <w:r w:rsidRPr="006B4620">
              <w:rPr>
                <w:rFonts w:ascii="Arial" w:hAnsi="Arial" w:cs="Arial"/>
                <w:sz w:val="20"/>
                <w:szCs w:val="20"/>
              </w:rPr>
              <w:t>TIPO C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021-6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REPOSIÇÃO DE ASSI EXTERNO </w:t>
            </w:r>
            <w:proofErr w:type="gramStart"/>
            <w:r w:rsidRPr="006B4620">
              <w:rPr>
                <w:rFonts w:ascii="Arial" w:hAnsi="Arial" w:cs="Arial"/>
                <w:sz w:val="20"/>
                <w:szCs w:val="20"/>
              </w:rPr>
              <w:t>INTRA-CANAL</w:t>
            </w:r>
            <w:proofErr w:type="gramEnd"/>
            <w:r w:rsidRPr="006B4620">
              <w:rPr>
                <w:rFonts w:ascii="Arial" w:hAnsi="Arial" w:cs="Arial"/>
                <w:sz w:val="20"/>
                <w:szCs w:val="20"/>
              </w:rPr>
              <w:t xml:space="preserve"> TIPO A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022-4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REPOSIÇÃO DE ASSI EXTERNO </w:t>
            </w:r>
            <w:proofErr w:type="gramStart"/>
            <w:r w:rsidRPr="006B4620">
              <w:rPr>
                <w:rFonts w:ascii="Arial" w:hAnsi="Arial" w:cs="Arial"/>
                <w:sz w:val="20"/>
                <w:szCs w:val="20"/>
              </w:rPr>
              <w:t>INTRA-CANAL</w:t>
            </w:r>
            <w:proofErr w:type="gramEnd"/>
            <w:r w:rsidRPr="006B4620">
              <w:rPr>
                <w:rFonts w:ascii="Arial" w:hAnsi="Arial" w:cs="Arial"/>
                <w:sz w:val="20"/>
                <w:szCs w:val="20"/>
              </w:rPr>
              <w:t xml:space="preserve"> TIPO B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023-2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 xml:space="preserve">REPOSIÇÃO DE ASSI EXTERNO </w:t>
            </w:r>
            <w:proofErr w:type="gramStart"/>
            <w:r w:rsidRPr="006B4620">
              <w:rPr>
                <w:rFonts w:ascii="Arial" w:hAnsi="Arial" w:cs="Arial"/>
                <w:sz w:val="20"/>
                <w:szCs w:val="20"/>
              </w:rPr>
              <w:t>INTRA-CANAL</w:t>
            </w:r>
            <w:proofErr w:type="gramEnd"/>
            <w:r w:rsidRPr="006B4620">
              <w:rPr>
                <w:rFonts w:ascii="Arial" w:hAnsi="Arial" w:cs="Arial"/>
                <w:sz w:val="20"/>
                <w:szCs w:val="20"/>
              </w:rPr>
              <w:t xml:space="preserve"> TIPO C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024-0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MICRO-CANAL TIPO A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025-9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MICRO-CANAL TIPO B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026-7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MICRO-CANAL TIPO C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027-5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RETROAURICULAR TIPO A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028-3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RETROAURICULAR TIPO B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 029-1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RETROAURICULAR TIPO C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483BCB" w:rsidRPr="006B4620" w:rsidTr="0004507D">
        <w:tc>
          <w:tcPr>
            <w:tcW w:w="1809" w:type="dxa"/>
            <w:vAlign w:val="center"/>
          </w:tcPr>
          <w:p w:rsidR="00483BCB" w:rsidRPr="006B4620" w:rsidRDefault="00483BCB" w:rsidP="0004507D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6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07.01.03.017-8</w:t>
            </w:r>
          </w:p>
        </w:tc>
        <w:tc>
          <w:tcPr>
            <w:tcW w:w="6096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REPOSIÇÃO DE ASSI EXTERNO DE CONDUÇÃO ÓSSEA RETROAURICULAR TIPO A</w:t>
            </w:r>
          </w:p>
        </w:tc>
        <w:tc>
          <w:tcPr>
            <w:tcW w:w="1098" w:type="dxa"/>
            <w:vAlign w:val="center"/>
          </w:tcPr>
          <w:p w:rsidR="00483BCB" w:rsidRPr="006B4620" w:rsidRDefault="00483BCB" w:rsidP="0004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620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757308" w:rsidRDefault="00757308" w:rsidP="0004507D">
      <w:pPr>
        <w:spacing w:before="120" w:after="120" w:line="360" w:lineRule="auto"/>
        <w:ind w:firstLine="1134"/>
        <w:jc w:val="both"/>
        <w:rPr>
          <w:rFonts w:ascii="Arial" w:hAnsi="Arial" w:cs="Arial"/>
        </w:rPr>
      </w:pPr>
    </w:p>
    <w:p w:rsidR="00B93AFC" w:rsidRDefault="006D36BE" w:rsidP="0004507D">
      <w:pPr>
        <w:spacing w:before="120"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4507D">
        <w:rPr>
          <w:rFonts w:ascii="Arial" w:hAnsi="Arial" w:cs="Arial"/>
        </w:rPr>
        <w:t>s próteses auditivas devem possuir características mínimas e recursos eletroacústicos, conforme consta na tabela abaixo:</w:t>
      </w:r>
    </w:p>
    <w:tbl>
      <w:tblPr>
        <w:tblW w:w="0" w:type="auto"/>
        <w:jc w:val="center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2751"/>
        <w:gridCol w:w="2383"/>
      </w:tblGrid>
      <w:tr w:rsidR="0004507D" w:rsidRPr="0004507D" w:rsidTr="00757308">
        <w:trPr>
          <w:trHeight w:val="108"/>
          <w:jc w:val="center"/>
        </w:trPr>
        <w:tc>
          <w:tcPr>
            <w:tcW w:w="8923" w:type="dxa"/>
            <w:gridSpan w:val="3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b/>
                <w:bCs/>
                <w:i/>
                <w:iCs/>
                <w:sz w:val="22"/>
                <w:szCs w:val="22"/>
              </w:rPr>
              <w:t xml:space="preserve">Características Mínimas e Recursos Eletroacústicos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color w:val="FF0000"/>
                <w:sz w:val="22"/>
                <w:szCs w:val="22"/>
              </w:rPr>
            </w:pPr>
            <w:r w:rsidRPr="0004507D">
              <w:rPr>
                <w:b/>
                <w:bCs/>
                <w:color w:val="FF0000"/>
                <w:sz w:val="22"/>
                <w:szCs w:val="22"/>
              </w:rPr>
              <w:t xml:space="preserve">Tipo A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color w:val="0070C0"/>
                <w:sz w:val="22"/>
                <w:szCs w:val="22"/>
              </w:rPr>
            </w:pPr>
            <w:r w:rsidRPr="0004507D">
              <w:rPr>
                <w:b/>
                <w:bCs/>
                <w:color w:val="0070C0"/>
                <w:sz w:val="22"/>
                <w:szCs w:val="22"/>
              </w:rPr>
              <w:t xml:space="preserve">Tipo B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color w:val="00B050"/>
                <w:sz w:val="22"/>
                <w:szCs w:val="22"/>
              </w:rPr>
            </w:pPr>
            <w:r w:rsidRPr="0004507D">
              <w:rPr>
                <w:b/>
                <w:bCs/>
                <w:color w:val="00B050"/>
                <w:sz w:val="22"/>
                <w:szCs w:val="22"/>
              </w:rPr>
              <w:t xml:space="preserve">Tipo C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programável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programável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Dois canais*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Três canais*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Cinco canais* </w:t>
            </w:r>
          </w:p>
        </w:tc>
      </w:tr>
      <w:tr w:rsidR="0004507D" w:rsidRPr="0004507D" w:rsidTr="00757308">
        <w:trPr>
          <w:trHeight w:val="241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Compressão não linear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Compressão não linear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Compressão não linear </w:t>
            </w:r>
          </w:p>
        </w:tc>
      </w:tr>
      <w:tr w:rsidR="0004507D" w:rsidRPr="0004507D" w:rsidTr="00757308">
        <w:trPr>
          <w:trHeight w:val="374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Entrada de áudio nos </w:t>
            </w:r>
            <w:proofErr w:type="spellStart"/>
            <w:r w:rsidRPr="0004507D">
              <w:rPr>
                <w:sz w:val="22"/>
                <w:szCs w:val="22"/>
              </w:rPr>
              <w:t>retroauriculares</w:t>
            </w:r>
            <w:proofErr w:type="spellEnd"/>
            <w:r w:rsidRPr="0004507D">
              <w:rPr>
                <w:sz w:val="22"/>
                <w:szCs w:val="22"/>
              </w:rPr>
              <w:t xml:space="preserve"> convencionais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Entrada de áudio nos </w:t>
            </w:r>
            <w:proofErr w:type="spellStart"/>
            <w:r w:rsidRPr="0004507D">
              <w:rPr>
                <w:sz w:val="22"/>
                <w:szCs w:val="22"/>
              </w:rPr>
              <w:t>retroauriculares</w:t>
            </w:r>
            <w:proofErr w:type="spellEnd"/>
            <w:r w:rsidRPr="0004507D">
              <w:rPr>
                <w:sz w:val="22"/>
                <w:szCs w:val="22"/>
              </w:rPr>
              <w:t xml:space="preserve"> </w:t>
            </w:r>
            <w:r w:rsidRPr="0004507D">
              <w:rPr>
                <w:sz w:val="22"/>
                <w:szCs w:val="22"/>
              </w:rPr>
              <w:lastRenderedPageBreak/>
              <w:t xml:space="preserve">convencionais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lastRenderedPageBreak/>
              <w:t xml:space="preserve">Entrada de áudio nos </w:t>
            </w:r>
            <w:proofErr w:type="spellStart"/>
            <w:r w:rsidRPr="0004507D">
              <w:rPr>
                <w:sz w:val="22"/>
                <w:szCs w:val="22"/>
              </w:rPr>
              <w:t>retroauriculares</w:t>
            </w:r>
            <w:proofErr w:type="spellEnd"/>
            <w:r w:rsidRPr="0004507D">
              <w:rPr>
                <w:sz w:val="22"/>
                <w:szCs w:val="22"/>
              </w:rPr>
              <w:t xml:space="preserve"> </w:t>
            </w:r>
            <w:r w:rsidRPr="0004507D">
              <w:rPr>
                <w:sz w:val="22"/>
                <w:szCs w:val="22"/>
              </w:rPr>
              <w:lastRenderedPageBreak/>
              <w:t xml:space="preserve">convencionais </w:t>
            </w:r>
          </w:p>
        </w:tc>
      </w:tr>
      <w:tr w:rsidR="0004507D" w:rsidRPr="0004507D" w:rsidTr="00757308">
        <w:trPr>
          <w:trHeight w:val="37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lastRenderedPageBreak/>
              <w:t xml:space="preserve">Gerenciador de microfonia ativo sem redução de ganho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Gerenciador de microfonia ativo sem redução de ganho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Gerenciador de microfonia ativo sem redução de ganho </w:t>
            </w:r>
          </w:p>
        </w:tc>
      </w:tr>
      <w:tr w:rsidR="0004507D" w:rsidRPr="0004507D" w:rsidTr="00757308">
        <w:trPr>
          <w:trHeight w:val="240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Bobina telefônica**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Bobina telefônica manual ou automática**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Bobina telefônica manual ou automática** </w:t>
            </w:r>
          </w:p>
        </w:tc>
      </w:tr>
      <w:tr w:rsidR="0004507D" w:rsidRPr="0004507D" w:rsidTr="00757308">
        <w:trPr>
          <w:trHeight w:val="240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Microfone </w:t>
            </w:r>
            <w:proofErr w:type="spellStart"/>
            <w:r w:rsidRPr="0004507D">
              <w:rPr>
                <w:sz w:val="22"/>
                <w:szCs w:val="22"/>
              </w:rPr>
              <w:t>omni</w:t>
            </w:r>
            <w:proofErr w:type="spellEnd"/>
            <w:r w:rsidRPr="0004507D">
              <w:rPr>
                <w:sz w:val="22"/>
                <w:szCs w:val="22"/>
              </w:rPr>
              <w:t xml:space="preserve"> ou direcional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Microfone </w:t>
            </w:r>
            <w:proofErr w:type="spellStart"/>
            <w:r w:rsidRPr="0004507D">
              <w:rPr>
                <w:sz w:val="22"/>
                <w:szCs w:val="22"/>
              </w:rPr>
              <w:t>omni</w:t>
            </w:r>
            <w:proofErr w:type="spellEnd"/>
            <w:r w:rsidRPr="0004507D">
              <w:rPr>
                <w:sz w:val="22"/>
                <w:szCs w:val="22"/>
              </w:rPr>
              <w:t xml:space="preserve"> e direcional fixo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Microfone </w:t>
            </w:r>
            <w:proofErr w:type="spellStart"/>
            <w:r w:rsidRPr="0004507D">
              <w:rPr>
                <w:sz w:val="22"/>
                <w:szCs w:val="22"/>
              </w:rPr>
              <w:t>omni</w:t>
            </w:r>
            <w:proofErr w:type="spellEnd"/>
            <w:r w:rsidRPr="0004507D">
              <w:rPr>
                <w:sz w:val="22"/>
                <w:szCs w:val="22"/>
              </w:rPr>
              <w:t xml:space="preserve"> e direcional adaptativo </w:t>
            </w:r>
          </w:p>
        </w:tc>
      </w:tr>
      <w:tr w:rsidR="0004507D" w:rsidRPr="0004507D" w:rsidTr="00757308">
        <w:trPr>
          <w:trHeight w:val="240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Dois programas de áudio (manual ou automático)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Três programas de áudio (manual ou automático)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Redução de ruído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Redução de ruído </w:t>
            </w:r>
          </w:p>
        </w:tc>
      </w:tr>
      <w:tr w:rsidR="0004507D" w:rsidRPr="0004507D" w:rsidTr="00757308">
        <w:trPr>
          <w:trHeight w:val="108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Registro de dados de uso </w:t>
            </w: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Registro de dados de uso </w:t>
            </w:r>
          </w:p>
        </w:tc>
      </w:tr>
      <w:tr w:rsidR="0004507D" w:rsidRPr="0004507D" w:rsidTr="00757308">
        <w:trPr>
          <w:trHeight w:val="235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b/>
                <w:bCs/>
                <w:sz w:val="22"/>
                <w:szCs w:val="22"/>
              </w:rPr>
              <w:t xml:space="preserve">Sistema de adaptação por via óssea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b/>
                <w:bCs/>
                <w:sz w:val="22"/>
                <w:szCs w:val="22"/>
              </w:rPr>
              <w:t xml:space="preserve">Sistema de adaptação CROS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7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programável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Um canal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7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Dois canais </w:t>
            </w:r>
          </w:p>
        </w:tc>
      </w:tr>
      <w:tr w:rsidR="0004507D" w:rsidRPr="0004507D" w:rsidTr="00757308">
        <w:trPr>
          <w:trHeight w:val="230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Compressão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Compressão </w:t>
            </w:r>
          </w:p>
        </w:tc>
      </w:tr>
      <w:tr w:rsidR="0004507D" w:rsidRPr="0004507D" w:rsidTr="00757308">
        <w:trPr>
          <w:trHeight w:val="229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Entrada de áudio (q.do BTE convencional)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Entrada de áudio (q.do BTE convencional) </w:t>
            </w:r>
          </w:p>
        </w:tc>
      </w:tr>
      <w:tr w:rsidR="0004507D" w:rsidRPr="0004507D" w:rsidTr="00757308">
        <w:trPr>
          <w:trHeight w:val="356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Sistema de sustentação (arco ajustável ou banda elástica)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Conectividade sem fio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Vibrador ósseo </w:t>
            </w: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12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Adaptador CROS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57EE7">
            <w:pPr>
              <w:pStyle w:val="Default"/>
              <w:ind w:left="27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Fio simples três pinos </w:t>
            </w:r>
          </w:p>
        </w:tc>
      </w:tr>
      <w:tr w:rsidR="0004507D" w:rsidRPr="0004507D" w:rsidTr="00757308">
        <w:trPr>
          <w:trHeight w:val="235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4507D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b/>
                <w:bCs/>
                <w:sz w:val="22"/>
                <w:szCs w:val="22"/>
              </w:rPr>
              <w:t xml:space="preserve">Sistema de conectividade sem fio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4507D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Digital programável </w:t>
            </w:r>
          </w:p>
        </w:tc>
      </w:tr>
      <w:tr w:rsidR="0004507D" w:rsidRPr="0004507D" w:rsidTr="00757308">
        <w:trPr>
          <w:trHeight w:val="103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4507D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Seis canais </w:t>
            </w:r>
          </w:p>
        </w:tc>
      </w:tr>
      <w:tr w:rsidR="0004507D" w:rsidRPr="0004507D" w:rsidTr="00757308">
        <w:trPr>
          <w:trHeight w:val="229"/>
          <w:jc w:val="center"/>
        </w:trPr>
        <w:tc>
          <w:tcPr>
            <w:tcW w:w="3789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04507D" w:rsidRPr="0004507D" w:rsidRDefault="0004507D" w:rsidP="00057E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04507D" w:rsidRPr="0004507D" w:rsidRDefault="0004507D" w:rsidP="0004507D">
            <w:pPr>
              <w:pStyle w:val="Default"/>
              <w:rPr>
                <w:sz w:val="22"/>
                <w:szCs w:val="22"/>
              </w:rPr>
            </w:pPr>
            <w:r w:rsidRPr="0004507D">
              <w:rPr>
                <w:sz w:val="22"/>
                <w:szCs w:val="22"/>
              </w:rPr>
              <w:t xml:space="preserve">Controle de volume manual ou automático </w:t>
            </w:r>
          </w:p>
        </w:tc>
      </w:tr>
    </w:tbl>
    <w:p w:rsidR="00757308" w:rsidRDefault="00757308" w:rsidP="00F52A0E">
      <w:pPr>
        <w:pStyle w:val="Default"/>
        <w:jc w:val="both"/>
        <w:rPr>
          <w:sz w:val="23"/>
          <w:szCs w:val="23"/>
        </w:rPr>
      </w:pPr>
    </w:p>
    <w:p w:rsidR="00F52A0E" w:rsidRPr="0045073F" w:rsidRDefault="00F52A0E" w:rsidP="00F52A0E">
      <w:pPr>
        <w:pStyle w:val="Default"/>
        <w:jc w:val="both"/>
        <w:rPr>
          <w:sz w:val="22"/>
          <w:szCs w:val="22"/>
        </w:rPr>
      </w:pPr>
      <w:r w:rsidRPr="0045073F">
        <w:rPr>
          <w:sz w:val="23"/>
          <w:szCs w:val="23"/>
        </w:rPr>
        <w:t>*</w:t>
      </w:r>
      <w:r w:rsidRPr="0045073F">
        <w:rPr>
          <w:sz w:val="22"/>
          <w:szCs w:val="22"/>
        </w:rPr>
        <w:t xml:space="preserve">Como alguns fornecedores de AASI não utilizam o sistema de canais, se aceita a expressão ajuste independente do ganho acústico e saída em determinado número de regiões de frequência. </w:t>
      </w:r>
    </w:p>
    <w:p w:rsidR="00F52A0E" w:rsidRDefault="00F52A0E" w:rsidP="00F52A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073F">
        <w:rPr>
          <w:rFonts w:ascii="Arial" w:hAnsi="Arial" w:cs="Arial"/>
          <w:sz w:val="22"/>
          <w:szCs w:val="22"/>
        </w:rPr>
        <w:t>** Se houver espaço no dispositivo.</w:t>
      </w:r>
    </w:p>
    <w:p w:rsidR="00757308" w:rsidRPr="0045073F" w:rsidRDefault="00757308" w:rsidP="00F52A0E">
      <w:pPr>
        <w:pStyle w:val="Standard"/>
        <w:jc w:val="both"/>
        <w:rPr>
          <w:rFonts w:ascii="Arial" w:hAnsi="Arial" w:cs="Arial"/>
        </w:rPr>
      </w:pPr>
    </w:p>
    <w:p w:rsidR="00F52A0E" w:rsidRDefault="00F52A0E" w:rsidP="006D36BE">
      <w:pPr>
        <w:spacing w:before="120"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</w:t>
      </w:r>
      <w:r w:rsidR="00394180">
        <w:rPr>
          <w:rFonts w:ascii="Arial" w:hAnsi="Arial" w:cs="Arial"/>
        </w:rPr>
        <w:t xml:space="preserve"> acima especificado</w:t>
      </w:r>
      <w:r>
        <w:rPr>
          <w:rFonts w:ascii="Arial" w:hAnsi="Arial" w:cs="Arial"/>
        </w:rPr>
        <w:t>, as empresas deverão garantir</w:t>
      </w:r>
      <w:r w:rsidR="00394180">
        <w:rPr>
          <w:rFonts w:ascii="Arial" w:hAnsi="Arial" w:cs="Arial"/>
        </w:rPr>
        <w:t xml:space="preserve"> o seguinte</w:t>
      </w:r>
      <w:r>
        <w:rPr>
          <w:rFonts w:ascii="Arial" w:hAnsi="Arial" w:cs="Arial"/>
        </w:rPr>
        <w:t>:</w:t>
      </w:r>
    </w:p>
    <w:p w:rsidR="00F52A0E" w:rsidRDefault="00F52A0E" w:rsidP="006D36BE">
      <w:pPr>
        <w:spacing w:before="120"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 fornecimento de próteses auditivas deverá ser de </w:t>
      </w:r>
      <w:r w:rsidRPr="00394180">
        <w:rPr>
          <w:rFonts w:ascii="Arial" w:hAnsi="Arial" w:cs="Arial"/>
          <w:u w:val="single"/>
        </w:rPr>
        <w:t>forma consignada, garantindo a permanência de 10 aparelhos (05 pares) de cada modelo dos tipos B e C e 20 aparelhos (10 pares) dos modelos tipo A</w:t>
      </w:r>
      <w:r>
        <w:rPr>
          <w:rFonts w:ascii="Arial" w:hAnsi="Arial" w:cs="Arial"/>
        </w:rPr>
        <w:t>;</w:t>
      </w:r>
    </w:p>
    <w:p w:rsidR="00F52A0E" w:rsidRDefault="00F52A0E" w:rsidP="006D36BE">
      <w:pPr>
        <w:spacing w:before="120"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Juntamente com as próteses auditivas, </w:t>
      </w:r>
      <w:proofErr w:type="gramStart"/>
      <w:r>
        <w:rPr>
          <w:rFonts w:ascii="Arial" w:hAnsi="Arial" w:cs="Arial"/>
        </w:rPr>
        <w:t>estas identificadas com número de série, marca</w:t>
      </w:r>
      <w:proofErr w:type="gramEnd"/>
      <w:r>
        <w:rPr>
          <w:rFonts w:ascii="Arial" w:hAnsi="Arial" w:cs="Arial"/>
        </w:rPr>
        <w:t xml:space="preserve"> e modelo, a empresa deverá fornecer uma cartela de 06 pilhas para cada aparelho, 01 desumidificador, certificado de garantia de 02 anos, manual de instruções e embalagem apropriada para a entrega dos produtos ao paciente;</w:t>
      </w:r>
    </w:p>
    <w:p w:rsidR="00F52A0E" w:rsidRDefault="006D36BE" w:rsidP="006D36BE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Bateria de teste: A</w:t>
      </w:r>
      <w:r w:rsidR="00F52A0E">
        <w:rPr>
          <w:rFonts w:ascii="Arial" w:hAnsi="Arial" w:cs="Arial"/>
        </w:rPr>
        <w:t xml:space="preserve"> bateria deve conter </w:t>
      </w:r>
      <w:r w:rsidR="00F52A0E">
        <w:rPr>
          <w:rFonts w:ascii="Arial" w:hAnsi="Arial"/>
          <w:color w:val="000000"/>
        </w:rPr>
        <w:t xml:space="preserve">02 </w:t>
      </w:r>
      <w:r w:rsidR="00F52A0E">
        <w:rPr>
          <w:rFonts w:ascii="Arial" w:hAnsi="Arial" w:cs="Arial"/>
          <w:color w:val="000000"/>
        </w:rPr>
        <w:t xml:space="preserve">aparelhos auditivos para os modelos retro auriculares e para os </w:t>
      </w:r>
      <w:proofErr w:type="spellStart"/>
      <w:r w:rsidR="00F52A0E">
        <w:rPr>
          <w:rFonts w:ascii="Arial" w:hAnsi="Arial" w:cs="Arial"/>
          <w:color w:val="000000"/>
        </w:rPr>
        <w:t>intra-aurais</w:t>
      </w:r>
      <w:proofErr w:type="spellEnd"/>
      <w:r w:rsidR="00F52A0E">
        <w:rPr>
          <w:rFonts w:ascii="Arial" w:hAnsi="Arial" w:cs="Arial"/>
          <w:color w:val="000000"/>
        </w:rPr>
        <w:t xml:space="preserve">, 01 par de aparelhos de modelo similar retro auricular. Juntamente com a bateria deve-se acompanhar uma cartela de </w:t>
      </w:r>
      <w:proofErr w:type="gramStart"/>
      <w:r w:rsidR="00F52A0E">
        <w:rPr>
          <w:rFonts w:ascii="Arial" w:hAnsi="Arial" w:cs="Arial"/>
          <w:color w:val="000000"/>
        </w:rPr>
        <w:t>6</w:t>
      </w:r>
      <w:proofErr w:type="gramEnd"/>
      <w:r w:rsidR="00F52A0E">
        <w:rPr>
          <w:rFonts w:ascii="Arial" w:hAnsi="Arial" w:cs="Arial"/>
          <w:color w:val="000000"/>
        </w:rPr>
        <w:t xml:space="preserve"> pilhas para cada modelo da bateria, ganchos pediátricos correspondentes aos modelos disponibilizados (caso ângulo de BTE disponível não seja possível adaptar a população pediátrica), 01 catálogo por modelo de aparelho, atualizado e impresso, em português.</w:t>
      </w:r>
    </w:p>
    <w:p w:rsidR="00F52A0E" w:rsidRDefault="00F52A0E" w:rsidP="006D36BE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pacing w:val="-2"/>
          <w:szCs w:val="21"/>
        </w:rPr>
      </w:pPr>
      <w:r>
        <w:rPr>
          <w:rFonts w:ascii="Arial" w:hAnsi="Arial" w:cs="Arial"/>
          <w:color w:val="000000"/>
        </w:rPr>
        <w:t xml:space="preserve">- Moldes auriculares: </w:t>
      </w:r>
      <w:r>
        <w:rPr>
          <w:rFonts w:ascii="Arial" w:hAnsi="Arial" w:cs="Arial"/>
          <w:color w:val="000000"/>
          <w:szCs w:val="21"/>
        </w:rPr>
        <w:t xml:space="preserve">Os moldes auriculares, assim como as reposições dos moldes, serão confeccionados, em sistema de rodízio mensal, entre as empresas </w:t>
      </w:r>
      <w:r w:rsidR="006B4620">
        <w:rPr>
          <w:rFonts w:ascii="Arial" w:hAnsi="Arial" w:cs="Arial"/>
          <w:color w:val="000000"/>
          <w:szCs w:val="21"/>
        </w:rPr>
        <w:t>fornecedoras</w:t>
      </w:r>
      <w:r>
        <w:rPr>
          <w:rFonts w:ascii="Arial" w:hAnsi="Arial" w:cs="Arial"/>
          <w:color w:val="000000"/>
          <w:szCs w:val="21"/>
        </w:rPr>
        <w:t xml:space="preserve">. </w:t>
      </w:r>
      <w:r>
        <w:rPr>
          <w:rFonts w:ascii="Arial" w:hAnsi="Arial" w:cs="Arial"/>
          <w:color w:val="000000"/>
          <w:w w:val="103"/>
          <w:szCs w:val="21"/>
        </w:rPr>
        <w:t>A empresa responsável pela confecção dos moldes do mês deverá fornecer</w:t>
      </w:r>
      <w:r>
        <w:rPr>
          <w:rFonts w:ascii="Arial" w:hAnsi="Arial" w:cs="Arial"/>
          <w:color w:val="000000"/>
          <w:szCs w:val="21"/>
        </w:rPr>
        <w:t xml:space="preserve"> material de </w:t>
      </w:r>
      <w:proofErr w:type="spellStart"/>
      <w:r>
        <w:rPr>
          <w:rFonts w:ascii="Arial" w:hAnsi="Arial" w:cs="Arial"/>
          <w:color w:val="000000"/>
          <w:szCs w:val="21"/>
        </w:rPr>
        <w:t>pré-moldagem</w:t>
      </w:r>
      <w:proofErr w:type="spellEnd"/>
      <w:r>
        <w:rPr>
          <w:rFonts w:ascii="Arial" w:hAnsi="Arial" w:cs="Arial"/>
          <w:color w:val="000000"/>
          <w:szCs w:val="21"/>
        </w:rPr>
        <w:t xml:space="preserve"> (250 </w:t>
      </w:r>
      <w:proofErr w:type="spellStart"/>
      <w:r>
        <w:rPr>
          <w:rFonts w:ascii="Arial" w:hAnsi="Arial" w:cs="Arial"/>
          <w:color w:val="000000"/>
          <w:szCs w:val="21"/>
        </w:rPr>
        <w:t>otoblocks</w:t>
      </w:r>
      <w:proofErr w:type="spellEnd"/>
      <w:r>
        <w:rPr>
          <w:rFonts w:ascii="Arial" w:hAnsi="Arial" w:cs="Arial"/>
          <w:color w:val="000000"/>
          <w:szCs w:val="21"/>
        </w:rPr>
        <w:t xml:space="preserve"> de espuma, dois kits contendo dois potes de massa de 800g, </w:t>
      </w:r>
      <w:r w:rsidR="006B4620">
        <w:rPr>
          <w:rFonts w:ascii="Arial" w:hAnsi="Arial" w:cs="Arial"/>
          <w:color w:val="000000"/>
          <w:szCs w:val="21"/>
        </w:rPr>
        <w:t>25</w:t>
      </w:r>
      <w:r>
        <w:rPr>
          <w:rFonts w:ascii="Arial" w:hAnsi="Arial" w:cs="Arial"/>
          <w:color w:val="000000"/>
          <w:szCs w:val="21"/>
        </w:rPr>
        <w:t xml:space="preserve"> tubos plásticos para moldes com dobra). A entrega do molde deverá ser feita em um prazo</w:t>
      </w:r>
      <w:r w:rsidR="006B4620">
        <w:rPr>
          <w:rFonts w:ascii="Arial" w:hAnsi="Arial" w:cs="Arial"/>
          <w:color w:val="000000"/>
          <w:szCs w:val="21"/>
        </w:rPr>
        <w:t xml:space="preserve"> de 15 dias a contar da data de chegada à empresa. </w:t>
      </w:r>
      <w:r>
        <w:rPr>
          <w:rFonts w:ascii="Arial" w:hAnsi="Arial" w:cs="Arial"/>
          <w:color w:val="000000"/>
          <w:spacing w:val="-1"/>
          <w:szCs w:val="21"/>
        </w:rPr>
        <w:t xml:space="preserve">A indicação técnica da confecção do </w:t>
      </w:r>
      <w:r>
        <w:rPr>
          <w:rFonts w:ascii="Arial" w:hAnsi="Arial" w:cs="Arial"/>
          <w:color w:val="000000"/>
          <w:spacing w:val="-2"/>
          <w:szCs w:val="21"/>
        </w:rPr>
        <w:t xml:space="preserve">molde quanto ao tipo, modificações acústicas e material deverá ser </w:t>
      </w:r>
      <w:proofErr w:type="gramStart"/>
      <w:r>
        <w:rPr>
          <w:rFonts w:ascii="Arial" w:hAnsi="Arial" w:cs="Arial"/>
          <w:color w:val="000000"/>
          <w:spacing w:val="-2"/>
          <w:szCs w:val="21"/>
        </w:rPr>
        <w:t>respeitada</w:t>
      </w:r>
      <w:proofErr w:type="gramEnd"/>
      <w:r>
        <w:rPr>
          <w:rFonts w:ascii="Arial" w:hAnsi="Arial" w:cs="Arial"/>
          <w:color w:val="000000"/>
          <w:spacing w:val="-2"/>
          <w:szCs w:val="21"/>
        </w:rPr>
        <w:t xml:space="preserve"> pela empresa credenciada. </w:t>
      </w:r>
    </w:p>
    <w:p w:rsidR="006B4620" w:rsidRDefault="006B4620" w:rsidP="006D36BE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pacing w:val="-2"/>
          <w:szCs w:val="21"/>
        </w:rPr>
      </w:pPr>
      <w:r>
        <w:rPr>
          <w:rFonts w:ascii="Arial" w:hAnsi="Arial" w:cs="Arial"/>
          <w:color w:val="000000"/>
          <w:spacing w:val="-2"/>
          <w:szCs w:val="21"/>
        </w:rPr>
        <w:t xml:space="preserve">- Treinamento: </w:t>
      </w:r>
      <w:r w:rsidR="006D36BE">
        <w:rPr>
          <w:rFonts w:ascii="Arial" w:hAnsi="Arial" w:cs="Arial"/>
          <w:color w:val="000000"/>
          <w:spacing w:val="-2"/>
          <w:szCs w:val="21"/>
        </w:rPr>
        <w:t>A</w:t>
      </w:r>
      <w:r>
        <w:rPr>
          <w:rFonts w:ascii="Arial" w:hAnsi="Arial" w:cs="Arial"/>
          <w:color w:val="000000"/>
          <w:spacing w:val="-2"/>
          <w:szCs w:val="21"/>
        </w:rPr>
        <w:t xml:space="preserve"> empresa deverá fornecer treinamento para a equipe técnica do CER II Santa Rosa, sendo que no mesmo, a empresa deverá demonstrar a regulagem de cada um dos modelos através do NOAH, que é o banco de dados utilizado pelo serviço. O treinamento deverá ocorrer na cidade de Santa Rosa – RS.</w:t>
      </w:r>
    </w:p>
    <w:p w:rsidR="006B4620" w:rsidRPr="006B4620" w:rsidRDefault="006B4620" w:rsidP="006D36BE">
      <w:pPr>
        <w:tabs>
          <w:tab w:val="left" w:pos="567"/>
        </w:tabs>
        <w:autoSpaceDE w:val="0"/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pacing w:val="-2"/>
          <w:szCs w:val="21"/>
        </w:rPr>
      </w:pPr>
      <w:r>
        <w:rPr>
          <w:rFonts w:ascii="Arial" w:hAnsi="Arial" w:cs="Arial"/>
          <w:color w:val="000000"/>
          <w:spacing w:val="-2"/>
          <w:szCs w:val="21"/>
        </w:rPr>
        <w:t xml:space="preserve">- Software: </w:t>
      </w:r>
      <w:r>
        <w:rPr>
          <w:rFonts w:ascii="Arial" w:hAnsi="Arial" w:cs="Arial"/>
          <w:color w:val="000000"/>
          <w:w w:val="107"/>
          <w:szCs w:val="21"/>
        </w:rPr>
        <w:t>A empresa deverá atualizar</w:t>
      </w:r>
      <w:r>
        <w:rPr>
          <w:rFonts w:ascii="Arial" w:hAnsi="Arial" w:cs="Arial"/>
          <w:color w:val="000000"/>
          <w:spacing w:val="-1"/>
          <w:szCs w:val="21"/>
        </w:rPr>
        <w:t xml:space="preserve"> o software utilizado para regulagem dos aparelhos, bem como fornecer e </w:t>
      </w:r>
      <w:r>
        <w:rPr>
          <w:rFonts w:ascii="Arial" w:hAnsi="Arial" w:cs="Arial"/>
          <w:color w:val="000000"/>
          <w:spacing w:val="-3"/>
          <w:szCs w:val="21"/>
        </w:rPr>
        <w:t>repor cabos e fita de conexão com NOAH.</w:t>
      </w:r>
      <w:r>
        <w:rPr>
          <w:rFonts w:ascii="Arial" w:hAnsi="Arial" w:cs="Arial"/>
          <w:color w:val="000000"/>
        </w:rPr>
        <w:t xml:space="preserve"> </w:t>
      </w:r>
    </w:p>
    <w:p w:rsidR="006B4620" w:rsidRDefault="006B4620" w:rsidP="006D36BE">
      <w:pPr>
        <w:tabs>
          <w:tab w:val="left" w:pos="567"/>
        </w:tabs>
        <w:autoSpaceDE w:val="0"/>
        <w:spacing w:before="120" w:after="12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Garantia: A empresa deverá assegurar o prazo de 02 (dois) anos de garantia dos aparelhos auditivos.</w:t>
      </w:r>
    </w:p>
    <w:p w:rsidR="00DC5A4A" w:rsidRPr="00003FBB" w:rsidRDefault="006D36BE" w:rsidP="006D36BE">
      <w:pPr>
        <w:tabs>
          <w:tab w:val="left" w:pos="567"/>
        </w:tabs>
        <w:autoSpaceDE w:val="0"/>
        <w:spacing w:before="120" w:after="120" w:line="360" w:lineRule="auto"/>
        <w:ind w:firstLine="1134"/>
        <w:jc w:val="both"/>
      </w:pPr>
      <w:r>
        <w:rPr>
          <w:rFonts w:ascii="Arial" w:hAnsi="Arial" w:cs="Arial"/>
          <w:color w:val="000000"/>
        </w:rPr>
        <w:t>- Consertos: E</w:t>
      </w:r>
      <w:r w:rsidR="006B4620">
        <w:rPr>
          <w:rFonts w:ascii="Arial" w:hAnsi="Arial" w:cs="Arial"/>
          <w:color w:val="000000"/>
        </w:rPr>
        <w:t>m caso de necessidade de conserto da prótese auditiva durante a garantia (02 anos), a empresa fornecerá gratuitamente o serviço. Após este período, o paciente ficará responsável pelo pagamento e a empresa deverá fornecer gratuitamente o orçamento do conserto para o paciente.</w:t>
      </w:r>
      <w:r w:rsidR="002C0AFB" w:rsidRPr="00F52A0E">
        <w:rPr>
          <w:rFonts w:ascii="Arial" w:hAnsi="Arial" w:cs="Arial"/>
        </w:rPr>
        <w:t xml:space="preserve">                                                         </w:t>
      </w:r>
      <w:r w:rsidR="00003FBB" w:rsidRPr="00F52A0E">
        <w:rPr>
          <w:rFonts w:ascii="Arial" w:hAnsi="Arial" w:cs="Arial"/>
        </w:rPr>
        <w:t xml:space="preserve">                    </w:t>
      </w:r>
      <w:r w:rsidR="00003FBB">
        <w:rPr>
          <w:rFonts w:ascii="Arial" w:hAnsi="Arial" w:cs="Arial"/>
        </w:rPr>
        <w:t xml:space="preserve">      </w:t>
      </w:r>
    </w:p>
    <w:sectPr w:rsidR="00DC5A4A" w:rsidRPr="00003FBB" w:rsidSect="00757308">
      <w:headerReference w:type="default" r:id="rId14"/>
      <w:footerReference w:type="default" r:id="rId15"/>
      <w:pgSz w:w="11906" w:h="16838"/>
      <w:pgMar w:top="2385" w:right="1077" w:bottom="1135" w:left="158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42" w:rsidRDefault="00240342" w:rsidP="00F30FA3">
      <w:pPr>
        <w:spacing w:after="0" w:line="240" w:lineRule="auto"/>
      </w:pPr>
      <w:r>
        <w:separator/>
      </w:r>
    </w:p>
  </w:endnote>
  <w:endnote w:type="continuationSeparator" w:id="0">
    <w:p w:rsidR="00240342" w:rsidRDefault="00240342" w:rsidP="00F3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42" w:rsidRDefault="00394180">
    <w:pPr>
      <w:pStyle w:val="Rodap"/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B9E4F17" wp14:editId="334D136D">
          <wp:simplePos x="0" y="0"/>
          <wp:positionH relativeFrom="column">
            <wp:posOffset>4221480</wp:posOffset>
          </wp:positionH>
          <wp:positionV relativeFrom="paragraph">
            <wp:posOffset>108585</wp:posOffset>
          </wp:positionV>
          <wp:extent cx="1013460" cy="420370"/>
          <wp:effectExtent l="0" t="0" r="0" b="0"/>
          <wp:wrapNone/>
          <wp:docPr id="10" name="Imagem 10" descr="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342">
      <w:rPr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EEF0FFF" wp14:editId="2445637C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342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64838" wp14:editId="2D0D3A5A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10795" t="9525" r="9525" b="889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1pt;margin-top:3.75pt;width:425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Ip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"/>
          </w:pict>
        </mc:Fallback>
      </mc:AlternateContent>
    </w:r>
  </w:p>
  <w:p w:rsidR="00240342" w:rsidRPr="008E0517" w:rsidRDefault="00240342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Boa </w:t>
    </w:r>
    <w:proofErr w:type="gramStart"/>
    <w:r w:rsidRPr="008E0517">
      <w:rPr>
        <w:b/>
        <w:sz w:val="16"/>
        <w:szCs w:val="16"/>
      </w:rPr>
      <w:t>Vista,</w:t>
    </w:r>
    <w:proofErr w:type="gramEnd"/>
    <w:r w:rsidRPr="008E0517">
      <w:rPr>
        <w:b/>
        <w:sz w:val="16"/>
        <w:szCs w:val="16"/>
      </w:rPr>
      <w:t xml:space="preserve"> Nº 401 - Santa Rosa / RS                                 </w:t>
    </w:r>
  </w:p>
  <w:p w:rsidR="00240342" w:rsidRPr="008E0517" w:rsidRDefault="00240342" w:rsidP="006C6F35">
    <w:pPr>
      <w:pStyle w:val="Rodap"/>
      <w:tabs>
        <w:tab w:val="clear" w:pos="4252"/>
        <w:tab w:val="clear" w:pos="8504"/>
        <w:tab w:val="left" w:pos="6272"/>
      </w:tabs>
      <w:rPr>
        <w:sz w:val="16"/>
        <w:szCs w:val="16"/>
      </w:rPr>
    </w:pPr>
    <w:r w:rsidRPr="008E0517">
      <w:rPr>
        <w:sz w:val="16"/>
        <w:szCs w:val="16"/>
      </w:rPr>
      <w:t xml:space="preserve">   55 351</w:t>
    </w:r>
    <w:r w:rsidR="002312EC">
      <w:rPr>
        <w:sz w:val="16"/>
        <w:szCs w:val="16"/>
      </w:rPr>
      <w:t>3 5100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42" w:rsidRDefault="00240342" w:rsidP="00F30FA3">
      <w:pPr>
        <w:spacing w:after="0" w:line="240" w:lineRule="auto"/>
      </w:pPr>
      <w:r>
        <w:separator/>
      </w:r>
    </w:p>
  </w:footnote>
  <w:footnote w:type="continuationSeparator" w:id="0">
    <w:p w:rsidR="00240342" w:rsidRDefault="00240342" w:rsidP="00F3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42" w:rsidRDefault="00240342">
    <w:pPr>
      <w:pStyle w:val="Cabealho"/>
      <w:rPr>
        <w:noProof/>
      </w:rPr>
    </w:pPr>
    <w:r w:rsidRPr="00757308">
      <w:rPr>
        <w:noProof/>
        <w:color w:val="00B050"/>
        <w:sz w:val="20"/>
        <w:szCs w:val="20"/>
      </w:rPr>
      <w:drawing>
        <wp:anchor distT="0" distB="0" distL="114300" distR="114300" simplePos="0" relativeHeight="251655168" behindDoc="0" locked="0" layoutInCell="1" allowOverlap="1" wp14:anchorId="1AF4EFF2" wp14:editId="41A5CDFD">
          <wp:simplePos x="0" y="0"/>
          <wp:positionH relativeFrom="column">
            <wp:posOffset>1049020</wp:posOffset>
          </wp:positionH>
          <wp:positionV relativeFrom="paragraph">
            <wp:posOffset>-288290</wp:posOffset>
          </wp:positionV>
          <wp:extent cx="3568238" cy="971550"/>
          <wp:effectExtent l="0" t="0" r="0" b="0"/>
          <wp:wrapNone/>
          <wp:docPr id="2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238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342" w:rsidRDefault="00240342">
    <w:pPr>
      <w:pStyle w:val="Cabealho"/>
      <w:rPr>
        <w:noProof/>
      </w:rPr>
    </w:pPr>
  </w:p>
  <w:p w:rsidR="00240342" w:rsidRDefault="00240342">
    <w:pPr>
      <w:pStyle w:val="Cabealho"/>
      <w:rPr>
        <w:noProof/>
      </w:rPr>
    </w:pPr>
  </w:p>
  <w:p w:rsidR="00240342" w:rsidRDefault="00240342">
    <w:pPr>
      <w:pStyle w:val="Cabealho"/>
      <w:rPr>
        <w:noProof/>
      </w:rPr>
    </w:pPr>
  </w:p>
  <w:p w:rsidR="00240342" w:rsidRDefault="00240342" w:rsidP="00812C20">
    <w:pPr>
      <w:pStyle w:val="Cabealho"/>
      <w:jc w:val="center"/>
    </w:pPr>
    <w:r>
      <w:rPr>
        <w:b/>
        <w:noProof/>
        <w:color w:val="00B05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C29CC" wp14:editId="693C2424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389880" cy="635"/>
              <wp:effectExtent l="0" t="0" r="20320" b="3746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2pt;margin-top:17.25pt;width:4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XVIgIAAD0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"/>
          </w:pict>
        </mc:Fallback>
      </mc:AlternateContent>
    </w:r>
    <w:r w:rsidRPr="008E0517">
      <w:rPr>
        <w:b/>
        <w:noProof/>
      </w:rPr>
      <w:t>MUNIC</w:t>
    </w:r>
    <w:r w:rsidR="00344837">
      <w:rPr>
        <w:b/>
        <w:noProof/>
      </w:rPr>
      <w:t>ÍPIO DE</w:t>
    </w:r>
    <w:r w:rsidRPr="008E0517">
      <w:rPr>
        <w:b/>
        <w:noProof/>
      </w:rPr>
      <w:t xml:space="preserve"> SANTA ROSA</w:t>
    </w:r>
    <w:r>
      <w:rPr>
        <w:noProof/>
      </w:rPr>
      <w:drawing>
        <wp:anchor distT="0" distB="0" distL="114300" distR="114300" simplePos="0" relativeHeight="251656192" behindDoc="0" locked="0" layoutInCell="1" allowOverlap="1" wp14:anchorId="43435949" wp14:editId="09C5280E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889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23718B"/>
    <w:multiLevelType w:val="hybridMultilevel"/>
    <w:tmpl w:val="A140B538"/>
    <w:lvl w:ilvl="0" w:tplc="2184296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05775"/>
    <w:multiLevelType w:val="hybridMultilevel"/>
    <w:tmpl w:val="F74A81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A3"/>
    <w:rsid w:val="0000341B"/>
    <w:rsid w:val="00003FBB"/>
    <w:rsid w:val="00016128"/>
    <w:rsid w:val="0004507D"/>
    <w:rsid w:val="00057FF7"/>
    <w:rsid w:val="00095E28"/>
    <w:rsid w:val="000D10CB"/>
    <w:rsid w:val="000F6920"/>
    <w:rsid w:val="0012231B"/>
    <w:rsid w:val="00126331"/>
    <w:rsid w:val="00172321"/>
    <w:rsid w:val="00182662"/>
    <w:rsid w:val="0022299F"/>
    <w:rsid w:val="002312EC"/>
    <w:rsid w:val="002320C4"/>
    <w:rsid w:val="00240342"/>
    <w:rsid w:val="002C0AFB"/>
    <w:rsid w:val="002C155A"/>
    <w:rsid w:val="002C78FD"/>
    <w:rsid w:val="002E2CB1"/>
    <w:rsid w:val="0032117A"/>
    <w:rsid w:val="00325611"/>
    <w:rsid w:val="00344837"/>
    <w:rsid w:val="00360E50"/>
    <w:rsid w:val="00373777"/>
    <w:rsid w:val="00376BD9"/>
    <w:rsid w:val="00394180"/>
    <w:rsid w:val="003A5330"/>
    <w:rsid w:val="003F36D8"/>
    <w:rsid w:val="00420B03"/>
    <w:rsid w:val="00443477"/>
    <w:rsid w:val="0045061E"/>
    <w:rsid w:val="00477147"/>
    <w:rsid w:val="0048381B"/>
    <w:rsid w:val="00483BCB"/>
    <w:rsid w:val="005018A3"/>
    <w:rsid w:val="005411F9"/>
    <w:rsid w:val="00563E76"/>
    <w:rsid w:val="00572EC7"/>
    <w:rsid w:val="00584438"/>
    <w:rsid w:val="00592A9E"/>
    <w:rsid w:val="005C5DAF"/>
    <w:rsid w:val="00617BAC"/>
    <w:rsid w:val="00623B7C"/>
    <w:rsid w:val="00632757"/>
    <w:rsid w:val="00647ABC"/>
    <w:rsid w:val="0065342C"/>
    <w:rsid w:val="00671B61"/>
    <w:rsid w:val="00686F46"/>
    <w:rsid w:val="00696495"/>
    <w:rsid w:val="006B4620"/>
    <w:rsid w:val="006C0A16"/>
    <w:rsid w:val="006C6F35"/>
    <w:rsid w:val="006D36BE"/>
    <w:rsid w:val="006D6E38"/>
    <w:rsid w:val="007401E9"/>
    <w:rsid w:val="00751EC4"/>
    <w:rsid w:val="00757308"/>
    <w:rsid w:val="007846CC"/>
    <w:rsid w:val="007F3F44"/>
    <w:rsid w:val="008030F4"/>
    <w:rsid w:val="00812C20"/>
    <w:rsid w:val="008606C3"/>
    <w:rsid w:val="00864D13"/>
    <w:rsid w:val="0089684A"/>
    <w:rsid w:val="008A1C0B"/>
    <w:rsid w:val="008E0517"/>
    <w:rsid w:val="008E1B18"/>
    <w:rsid w:val="008F1AB2"/>
    <w:rsid w:val="00907F07"/>
    <w:rsid w:val="00966B11"/>
    <w:rsid w:val="009B4C52"/>
    <w:rsid w:val="009D3B9A"/>
    <w:rsid w:val="009D5649"/>
    <w:rsid w:val="009E5161"/>
    <w:rsid w:val="00A157A2"/>
    <w:rsid w:val="00A30864"/>
    <w:rsid w:val="00A46F39"/>
    <w:rsid w:val="00A67890"/>
    <w:rsid w:val="00A71F6E"/>
    <w:rsid w:val="00AA657C"/>
    <w:rsid w:val="00AB3194"/>
    <w:rsid w:val="00AC69DA"/>
    <w:rsid w:val="00AF5B23"/>
    <w:rsid w:val="00B05B63"/>
    <w:rsid w:val="00B179A5"/>
    <w:rsid w:val="00B2019A"/>
    <w:rsid w:val="00B7045B"/>
    <w:rsid w:val="00B73A6D"/>
    <w:rsid w:val="00B90E7F"/>
    <w:rsid w:val="00B93AFC"/>
    <w:rsid w:val="00B973AA"/>
    <w:rsid w:val="00C31110"/>
    <w:rsid w:val="00C32D59"/>
    <w:rsid w:val="00C83B52"/>
    <w:rsid w:val="00CC4CFE"/>
    <w:rsid w:val="00D0762E"/>
    <w:rsid w:val="00D47329"/>
    <w:rsid w:val="00D63D8D"/>
    <w:rsid w:val="00DB01EA"/>
    <w:rsid w:val="00DB73C7"/>
    <w:rsid w:val="00DC5A4A"/>
    <w:rsid w:val="00DE353F"/>
    <w:rsid w:val="00E41392"/>
    <w:rsid w:val="00E61959"/>
    <w:rsid w:val="00E87083"/>
    <w:rsid w:val="00E95852"/>
    <w:rsid w:val="00EA671A"/>
    <w:rsid w:val="00EB7D01"/>
    <w:rsid w:val="00EC4818"/>
    <w:rsid w:val="00F25158"/>
    <w:rsid w:val="00F30FA3"/>
    <w:rsid w:val="00F4337B"/>
    <w:rsid w:val="00F47F21"/>
    <w:rsid w:val="00F52A0E"/>
    <w:rsid w:val="00F676C8"/>
    <w:rsid w:val="00F71D47"/>
    <w:rsid w:val="00F7283C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ixa.gov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evidenciasocial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eita.fazenda.gov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efaz.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ceita.fazenda.gov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739C-37B4-4E1E-B27C-AF2CD77C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10108</Characters>
  <Application>Microsoft Office Word</Application>
  <DocSecurity>4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Natana Chitolina</cp:lastModifiedBy>
  <cp:revision>2</cp:revision>
  <cp:lastPrinted>2016-01-15T11:47:00Z</cp:lastPrinted>
  <dcterms:created xsi:type="dcterms:W3CDTF">2016-01-15T13:07:00Z</dcterms:created>
  <dcterms:modified xsi:type="dcterms:W3CDTF">2016-01-15T13:07:00Z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-613546433</vt:i4>
  </property>
</Properties>
</file>